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10"/>
        <w:tblW w:w="0" w:type="auto"/>
        <w:tblLook w:val="04A0" w:firstRow="1" w:lastRow="0" w:firstColumn="1" w:lastColumn="0" w:noHBand="0" w:noVBand="1"/>
      </w:tblPr>
      <w:tblGrid>
        <w:gridCol w:w="1413"/>
        <w:gridCol w:w="7513"/>
      </w:tblGrid>
      <w:tr w:rsidR="00E54BE7" w:rsidRPr="00E54BE7" w14:paraId="713A4DB4" w14:textId="77777777" w:rsidTr="00E54BE7">
        <w:tc>
          <w:tcPr>
            <w:tcW w:w="8926" w:type="dxa"/>
            <w:gridSpan w:val="2"/>
            <w:shd w:val="clear" w:color="auto" w:fill="A5C9EB"/>
          </w:tcPr>
          <w:p w14:paraId="558F303C" w14:textId="77777777" w:rsidR="00E54BE7" w:rsidRPr="00E54BE7" w:rsidRDefault="00E54BE7" w:rsidP="00E54BE7">
            <w:pPr>
              <w:spacing w:after="160" w:line="276" w:lineRule="auto"/>
              <w:jc w:val="center"/>
              <w:rPr>
                <w:rFonts w:ascii="Aptos" w:eastAsia="Aptos" w:hAnsi="Aptos" w:cs="Times New Roman"/>
                <w:b/>
                <w:bCs/>
                <w:sz w:val="20"/>
                <w:szCs w:val="20"/>
              </w:rPr>
            </w:pPr>
            <w:r w:rsidRPr="00E54BE7">
              <w:rPr>
                <w:rFonts w:ascii="Aptos" w:eastAsia="Aptos" w:hAnsi="Aptos" w:cs="Times New Roman"/>
                <w:b/>
                <w:bCs/>
              </w:rPr>
              <w:t>Timeline</w:t>
            </w:r>
          </w:p>
        </w:tc>
      </w:tr>
      <w:tr w:rsidR="00E54BE7" w:rsidRPr="00E54BE7" w14:paraId="4EC93A14" w14:textId="77777777" w:rsidTr="00E54BE7">
        <w:tc>
          <w:tcPr>
            <w:tcW w:w="1413" w:type="dxa"/>
          </w:tcPr>
          <w:p w14:paraId="64C3DF69"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Month</w:t>
            </w:r>
          </w:p>
        </w:tc>
        <w:tc>
          <w:tcPr>
            <w:tcW w:w="7513" w:type="dxa"/>
          </w:tcPr>
          <w:p w14:paraId="495EA413"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Action</w:t>
            </w:r>
          </w:p>
        </w:tc>
      </w:tr>
      <w:tr w:rsidR="00E54BE7" w:rsidRPr="00E54BE7" w14:paraId="3D3EE097" w14:textId="77777777" w:rsidTr="00E54BE7">
        <w:tc>
          <w:tcPr>
            <w:tcW w:w="1413" w:type="dxa"/>
          </w:tcPr>
          <w:p w14:paraId="18C5EE8E"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October 2024</w:t>
            </w:r>
          </w:p>
          <w:p w14:paraId="7C5D7687" w14:textId="77777777" w:rsidR="00E54BE7" w:rsidRPr="00E54BE7" w:rsidRDefault="00E54BE7" w:rsidP="00E54BE7">
            <w:pPr>
              <w:spacing w:after="160" w:line="276" w:lineRule="auto"/>
              <w:rPr>
                <w:rFonts w:ascii="Aptos" w:eastAsia="Aptos" w:hAnsi="Aptos" w:cs="Times New Roman"/>
                <w:sz w:val="20"/>
                <w:szCs w:val="20"/>
              </w:rPr>
            </w:pPr>
          </w:p>
        </w:tc>
        <w:tc>
          <w:tcPr>
            <w:tcW w:w="7513" w:type="dxa"/>
          </w:tcPr>
          <w:p w14:paraId="28991B0C" w14:textId="77777777" w:rsidR="00E54BE7" w:rsidRPr="00E54BE7" w:rsidRDefault="00E54BE7" w:rsidP="00E54BE7">
            <w:pPr>
              <w:numPr>
                <w:ilvl w:val="0"/>
                <w:numId w:val="1"/>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Share information with Headteachers, Early Years forum and wider Birmingham City Council leaders</w:t>
            </w:r>
          </w:p>
          <w:p w14:paraId="14AF5488" w14:textId="77777777" w:rsidR="00E54BE7" w:rsidRPr="00E54BE7" w:rsidRDefault="00E54BE7" w:rsidP="00E54BE7">
            <w:pPr>
              <w:numPr>
                <w:ilvl w:val="0"/>
                <w:numId w:val="1"/>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SENAR launch The Good Plan Guide with Officers</w:t>
            </w:r>
          </w:p>
          <w:p w14:paraId="254AAF96" w14:textId="77777777" w:rsidR="00E54BE7" w:rsidRPr="00E54BE7" w:rsidRDefault="00E54BE7" w:rsidP="00E54BE7">
            <w:pPr>
              <w:numPr>
                <w:ilvl w:val="0"/>
                <w:numId w:val="1"/>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Partnership Leads to plan launch training with their teams</w:t>
            </w:r>
          </w:p>
        </w:tc>
      </w:tr>
      <w:tr w:rsidR="00E54BE7" w:rsidRPr="00E54BE7" w14:paraId="68CA21A5" w14:textId="77777777" w:rsidTr="00E54BE7">
        <w:tc>
          <w:tcPr>
            <w:tcW w:w="1413" w:type="dxa"/>
          </w:tcPr>
          <w:p w14:paraId="303AC531"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November 2024</w:t>
            </w:r>
          </w:p>
          <w:p w14:paraId="59ABB574" w14:textId="77777777" w:rsidR="00E54BE7" w:rsidRPr="00E54BE7" w:rsidRDefault="00E54BE7" w:rsidP="00E54BE7">
            <w:pPr>
              <w:spacing w:after="160" w:line="276" w:lineRule="auto"/>
              <w:rPr>
                <w:rFonts w:ascii="Aptos" w:eastAsia="Aptos" w:hAnsi="Aptos" w:cs="Times New Roman"/>
                <w:sz w:val="20"/>
                <w:szCs w:val="20"/>
              </w:rPr>
            </w:pPr>
          </w:p>
        </w:tc>
        <w:tc>
          <w:tcPr>
            <w:tcW w:w="7513" w:type="dxa"/>
          </w:tcPr>
          <w:p w14:paraId="2B5CF603" w14:textId="77777777" w:rsidR="00E54BE7" w:rsidRPr="00E54BE7" w:rsidRDefault="00E54BE7" w:rsidP="00E54BE7">
            <w:pPr>
              <w:numPr>
                <w:ilvl w:val="0"/>
                <w:numId w:val="2"/>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SENAR will share changes with educational settings at SENCo Briefing sessions (w/b 11/11/2024)</w:t>
            </w:r>
          </w:p>
          <w:p w14:paraId="2856A6E2" w14:textId="77777777" w:rsidR="00E54BE7" w:rsidRPr="00E54BE7" w:rsidRDefault="00E54BE7" w:rsidP="00E54BE7">
            <w:pPr>
              <w:numPr>
                <w:ilvl w:val="0"/>
                <w:numId w:val="2"/>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Partners in health and social care to cascade training to colleagues regarding new documents</w:t>
            </w:r>
          </w:p>
          <w:p w14:paraId="1F4D051E" w14:textId="77777777" w:rsidR="00E54BE7" w:rsidRPr="00E54BE7" w:rsidRDefault="00E54BE7" w:rsidP="00E54BE7">
            <w:pPr>
              <w:numPr>
                <w:ilvl w:val="0"/>
                <w:numId w:val="2"/>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Parent carer sessions to inform of changes</w:t>
            </w:r>
          </w:p>
        </w:tc>
      </w:tr>
      <w:tr w:rsidR="00E54BE7" w:rsidRPr="00E54BE7" w14:paraId="06709127" w14:textId="77777777" w:rsidTr="00E54BE7">
        <w:tc>
          <w:tcPr>
            <w:tcW w:w="1413" w:type="dxa"/>
          </w:tcPr>
          <w:p w14:paraId="2D79974D"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December 2024 and January 2025</w:t>
            </w:r>
          </w:p>
          <w:p w14:paraId="2CAE2F14" w14:textId="77777777" w:rsidR="00E54BE7" w:rsidRPr="00E54BE7" w:rsidRDefault="00E54BE7" w:rsidP="00E54BE7">
            <w:pPr>
              <w:spacing w:after="160" w:line="276" w:lineRule="auto"/>
              <w:rPr>
                <w:rFonts w:ascii="Aptos" w:eastAsia="Aptos" w:hAnsi="Aptos" w:cs="Times New Roman"/>
                <w:sz w:val="20"/>
                <w:szCs w:val="20"/>
              </w:rPr>
            </w:pPr>
          </w:p>
        </w:tc>
        <w:tc>
          <w:tcPr>
            <w:tcW w:w="7513" w:type="dxa"/>
          </w:tcPr>
          <w:p w14:paraId="3150DE65" w14:textId="77777777" w:rsidR="00E54BE7" w:rsidRPr="00E54BE7" w:rsidRDefault="00E54BE7" w:rsidP="00E54BE7">
            <w:pPr>
              <w:numPr>
                <w:ilvl w:val="0"/>
                <w:numId w:val="3"/>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Weekly drop in sessions for educational settings to support with new document completion. See below and dates will also go on the Local Offer web page and the SENCO News Bulletin</w:t>
            </w:r>
          </w:p>
        </w:tc>
      </w:tr>
      <w:tr w:rsidR="00E54BE7" w:rsidRPr="00E54BE7" w14:paraId="4E49F937" w14:textId="77777777" w:rsidTr="00E54BE7">
        <w:tc>
          <w:tcPr>
            <w:tcW w:w="1413" w:type="dxa"/>
          </w:tcPr>
          <w:p w14:paraId="277D2B15"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January 2025 and February 2025</w:t>
            </w:r>
          </w:p>
        </w:tc>
        <w:tc>
          <w:tcPr>
            <w:tcW w:w="7513" w:type="dxa"/>
          </w:tcPr>
          <w:p w14:paraId="07EA9B06" w14:textId="77777777" w:rsidR="00E54BE7" w:rsidRPr="00E54BE7" w:rsidRDefault="00E54BE7" w:rsidP="00E54BE7">
            <w:pPr>
              <w:numPr>
                <w:ilvl w:val="0"/>
                <w:numId w:val="3"/>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 xml:space="preserve">Check ins with partners in health, social care and SEND Services to ensure training is complete </w:t>
            </w:r>
          </w:p>
        </w:tc>
      </w:tr>
      <w:tr w:rsidR="00E54BE7" w:rsidRPr="00E54BE7" w14:paraId="16BB43B2" w14:textId="77777777" w:rsidTr="00E54BE7">
        <w:tc>
          <w:tcPr>
            <w:tcW w:w="1413" w:type="dxa"/>
          </w:tcPr>
          <w:p w14:paraId="06EA8A20"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February 2025 and March 2025</w:t>
            </w:r>
          </w:p>
        </w:tc>
        <w:tc>
          <w:tcPr>
            <w:tcW w:w="7513" w:type="dxa"/>
          </w:tcPr>
          <w:p w14:paraId="6EC1AA9D" w14:textId="77777777" w:rsidR="00E54BE7" w:rsidRPr="00E54BE7" w:rsidRDefault="00E54BE7" w:rsidP="00E54BE7">
            <w:pPr>
              <w:numPr>
                <w:ilvl w:val="0"/>
                <w:numId w:val="3"/>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Analysis and evaluation of completed new documents received to date</w:t>
            </w:r>
          </w:p>
        </w:tc>
      </w:tr>
      <w:tr w:rsidR="00E54BE7" w:rsidRPr="00E54BE7" w14:paraId="500F0EC5" w14:textId="77777777" w:rsidTr="00E54BE7">
        <w:trPr>
          <w:trHeight w:val="862"/>
        </w:trPr>
        <w:tc>
          <w:tcPr>
            <w:tcW w:w="1413" w:type="dxa"/>
            <w:tcBorders>
              <w:bottom w:val="single" w:sz="4" w:space="0" w:color="auto"/>
            </w:tcBorders>
          </w:tcPr>
          <w:p w14:paraId="2920C47B"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April 2025</w:t>
            </w:r>
          </w:p>
          <w:p w14:paraId="691E5ABA" w14:textId="77777777" w:rsidR="00E54BE7" w:rsidRPr="00E54BE7" w:rsidRDefault="00E54BE7" w:rsidP="00E54BE7">
            <w:pPr>
              <w:spacing w:after="160" w:line="276" w:lineRule="auto"/>
              <w:rPr>
                <w:rFonts w:ascii="Aptos" w:eastAsia="Aptos" w:hAnsi="Aptos" w:cs="Times New Roman"/>
                <w:sz w:val="20"/>
                <w:szCs w:val="20"/>
              </w:rPr>
            </w:pPr>
          </w:p>
        </w:tc>
        <w:tc>
          <w:tcPr>
            <w:tcW w:w="7513" w:type="dxa"/>
            <w:tcBorders>
              <w:bottom w:val="single" w:sz="4" w:space="0" w:color="auto"/>
            </w:tcBorders>
          </w:tcPr>
          <w:p w14:paraId="4C8B8CAD" w14:textId="77777777" w:rsidR="00E54BE7" w:rsidRPr="00E54BE7" w:rsidRDefault="00E54BE7" w:rsidP="00E54BE7">
            <w:pPr>
              <w:numPr>
                <w:ilvl w:val="0"/>
                <w:numId w:val="3"/>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Grace period to embed new documents will end on Friday 11</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April 2025, end of the spring term</w:t>
            </w:r>
          </w:p>
          <w:p w14:paraId="20A0B366" w14:textId="77777777" w:rsidR="00E54BE7" w:rsidRPr="00E54BE7" w:rsidRDefault="00E54BE7" w:rsidP="00E54BE7">
            <w:pPr>
              <w:numPr>
                <w:ilvl w:val="0"/>
                <w:numId w:val="3"/>
              </w:numPr>
              <w:spacing w:after="160" w:line="276" w:lineRule="auto"/>
              <w:contextualSpacing/>
              <w:rPr>
                <w:rFonts w:ascii="Aptos" w:eastAsia="Aptos" w:hAnsi="Aptos" w:cs="Times New Roman"/>
                <w:sz w:val="20"/>
                <w:szCs w:val="20"/>
              </w:rPr>
            </w:pPr>
            <w:r w:rsidRPr="00E54BE7">
              <w:rPr>
                <w:rFonts w:ascii="Aptos" w:eastAsia="Aptos" w:hAnsi="Aptos" w:cs="Times New Roman"/>
                <w:sz w:val="20"/>
                <w:szCs w:val="20"/>
              </w:rPr>
              <w:t>Only new documents expected to be used from Monday 28</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April 2025, start of the summer term.</w:t>
            </w:r>
          </w:p>
        </w:tc>
      </w:tr>
      <w:tr w:rsidR="00E54BE7" w:rsidRPr="00E54BE7" w14:paraId="0745C7E7" w14:textId="77777777" w:rsidTr="00E54BE7">
        <w:trPr>
          <w:trHeight w:val="862"/>
        </w:trPr>
        <w:tc>
          <w:tcPr>
            <w:tcW w:w="8926" w:type="dxa"/>
            <w:gridSpan w:val="2"/>
            <w:shd w:val="clear" w:color="auto" w:fill="D9F2D0"/>
          </w:tcPr>
          <w:p w14:paraId="6CB676AD" w14:textId="77777777" w:rsidR="00E54BE7" w:rsidRPr="00E54BE7" w:rsidRDefault="00E54BE7" w:rsidP="00E54BE7">
            <w:pPr>
              <w:spacing w:after="160" w:line="276" w:lineRule="auto"/>
              <w:rPr>
                <w:rFonts w:ascii="Aptos" w:eastAsia="Aptos" w:hAnsi="Aptos" w:cs="Times New Roman"/>
                <w:b/>
                <w:bCs/>
                <w:sz w:val="20"/>
                <w:szCs w:val="20"/>
              </w:rPr>
            </w:pPr>
            <w:r w:rsidRPr="00E54BE7">
              <w:rPr>
                <w:rFonts w:ascii="Aptos" w:eastAsia="Aptos" w:hAnsi="Aptos" w:cs="Times New Roman"/>
                <w:b/>
                <w:bCs/>
                <w:sz w:val="20"/>
                <w:szCs w:val="20"/>
              </w:rPr>
              <w:t>Drop in Dates (all 1-4pm):</w:t>
            </w:r>
          </w:p>
          <w:p w14:paraId="2EF3C642"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Mon 2</w:t>
            </w:r>
            <w:r w:rsidRPr="00E54BE7">
              <w:rPr>
                <w:rFonts w:ascii="Aptos" w:eastAsia="Aptos" w:hAnsi="Aptos" w:cs="Times New Roman"/>
                <w:sz w:val="20"/>
                <w:szCs w:val="20"/>
                <w:vertAlign w:val="superscript"/>
              </w:rPr>
              <w:t>nd</w:t>
            </w:r>
            <w:r w:rsidRPr="00E54BE7">
              <w:rPr>
                <w:rFonts w:ascii="Aptos" w:eastAsia="Aptos" w:hAnsi="Aptos" w:cs="Times New Roman"/>
                <w:sz w:val="20"/>
                <w:szCs w:val="20"/>
              </w:rPr>
              <w:t xml:space="preserve"> Dec         Thurs 9</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Jan     Weds 5</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Feb                         For details of how to access</w:t>
            </w:r>
          </w:p>
          <w:p w14:paraId="59098BBF" w14:textId="7777777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Tues 10</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Dec       Fri 17</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Jan         Thurs 13</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Feb                      these, please ensure you </w:t>
            </w:r>
          </w:p>
          <w:p w14:paraId="5E42F9F3" w14:textId="6F436637"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Weds 18</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Dec     Mon 20</w:t>
            </w:r>
            <w:r w:rsidRPr="00E54BE7">
              <w:rPr>
                <w:rFonts w:ascii="Aptos" w:eastAsia="Aptos" w:hAnsi="Aptos" w:cs="Times New Roman"/>
                <w:sz w:val="20"/>
                <w:szCs w:val="20"/>
                <w:vertAlign w:val="superscript"/>
              </w:rPr>
              <w:t>th</w:t>
            </w:r>
            <w:r w:rsidRPr="00E54BE7">
              <w:rPr>
                <w:rFonts w:ascii="Aptos" w:eastAsia="Aptos" w:hAnsi="Aptos" w:cs="Times New Roman"/>
                <w:sz w:val="20"/>
                <w:szCs w:val="20"/>
              </w:rPr>
              <w:t xml:space="preserve"> Jan   </w:t>
            </w:r>
            <w:r w:rsidR="004278B1" w:rsidRPr="00E54BE7">
              <w:rPr>
                <w:rFonts w:ascii="Aptos" w:eastAsia="Aptos" w:hAnsi="Aptos" w:cs="Times New Roman"/>
                <w:sz w:val="20"/>
                <w:szCs w:val="20"/>
              </w:rPr>
              <w:t xml:space="preserve"> </w:t>
            </w:r>
            <w:r w:rsidR="004278B1" w:rsidRPr="00E54BE7">
              <w:rPr>
                <w:rFonts w:ascii="Aptos" w:eastAsia="Aptos" w:hAnsi="Aptos" w:cs="Times New Roman"/>
                <w:sz w:val="20"/>
                <w:szCs w:val="20"/>
              </w:rPr>
              <w:t>Tues 28</w:t>
            </w:r>
            <w:r w:rsidR="004278B1" w:rsidRPr="00E54BE7">
              <w:rPr>
                <w:rFonts w:ascii="Aptos" w:eastAsia="Aptos" w:hAnsi="Aptos" w:cs="Times New Roman"/>
                <w:sz w:val="20"/>
                <w:szCs w:val="20"/>
                <w:vertAlign w:val="superscript"/>
              </w:rPr>
              <w:t xml:space="preserve">th </w:t>
            </w:r>
            <w:r w:rsidR="004278B1" w:rsidRPr="00E54BE7">
              <w:rPr>
                <w:rFonts w:ascii="Aptos" w:eastAsia="Aptos" w:hAnsi="Aptos" w:cs="Times New Roman"/>
                <w:sz w:val="20"/>
                <w:szCs w:val="20"/>
              </w:rPr>
              <w:t xml:space="preserve">Jan   </w:t>
            </w:r>
            <w:r w:rsidRPr="00E54BE7">
              <w:rPr>
                <w:rFonts w:ascii="Aptos" w:eastAsia="Aptos" w:hAnsi="Aptos" w:cs="Times New Roman"/>
                <w:sz w:val="20"/>
                <w:szCs w:val="20"/>
              </w:rPr>
              <w:t xml:space="preserve">                        attend the SENCO</w:t>
            </w:r>
            <w:r>
              <w:rPr>
                <w:rFonts w:ascii="Aptos" w:eastAsia="Aptos" w:hAnsi="Aptos" w:cs="Times New Roman"/>
                <w:sz w:val="20"/>
                <w:szCs w:val="20"/>
              </w:rPr>
              <w:t xml:space="preserve"> briefings</w:t>
            </w:r>
            <w:r w:rsidR="004278B1">
              <w:rPr>
                <w:rFonts w:ascii="Aptos" w:eastAsia="Aptos" w:hAnsi="Aptos" w:cs="Times New Roman"/>
                <w:sz w:val="20"/>
                <w:szCs w:val="20"/>
              </w:rPr>
              <w:t xml:space="preserve"> w/c 11</w:t>
            </w:r>
            <w:r w:rsidR="004278B1" w:rsidRPr="004278B1">
              <w:rPr>
                <w:rFonts w:ascii="Aptos" w:eastAsia="Aptos" w:hAnsi="Aptos" w:cs="Times New Roman"/>
                <w:sz w:val="20"/>
                <w:szCs w:val="20"/>
                <w:vertAlign w:val="superscript"/>
              </w:rPr>
              <w:t>th</w:t>
            </w:r>
            <w:r w:rsidR="004278B1">
              <w:rPr>
                <w:rFonts w:ascii="Aptos" w:eastAsia="Aptos" w:hAnsi="Aptos" w:cs="Times New Roman"/>
                <w:sz w:val="20"/>
                <w:szCs w:val="20"/>
              </w:rPr>
              <w:t xml:space="preserve"> Nov</w:t>
            </w:r>
            <w:r w:rsidRPr="00E54BE7">
              <w:rPr>
                <w:rFonts w:ascii="Aptos" w:eastAsia="Aptos" w:hAnsi="Aptos" w:cs="Times New Roman"/>
                <w:sz w:val="20"/>
                <w:szCs w:val="20"/>
              </w:rPr>
              <w:t xml:space="preserve">  </w:t>
            </w:r>
          </w:p>
          <w:p w14:paraId="4A7BB7C4" w14:textId="55CCB2E1" w:rsidR="00E54BE7" w:rsidRPr="00E54BE7" w:rsidRDefault="00E54BE7" w:rsidP="00E54BE7">
            <w:pPr>
              <w:spacing w:after="160" w:line="276" w:lineRule="auto"/>
              <w:rPr>
                <w:rFonts w:ascii="Aptos" w:eastAsia="Aptos" w:hAnsi="Aptos" w:cs="Times New Roman"/>
                <w:sz w:val="20"/>
                <w:szCs w:val="20"/>
              </w:rPr>
            </w:pPr>
            <w:r w:rsidRPr="00E54BE7">
              <w:rPr>
                <w:rFonts w:ascii="Aptos" w:eastAsia="Aptos" w:hAnsi="Aptos" w:cs="Times New Roman"/>
                <w:sz w:val="20"/>
                <w:szCs w:val="20"/>
              </w:rPr>
              <w:t xml:space="preserve">                                  </w:t>
            </w:r>
          </w:p>
        </w:tc>
      </w:tr>
    </w:tbl>
    <w:p w14:paraId="0DDA6370" w14:textId="77777777" w:rsidR="004971BD" w:rsidRDefault="004971BD"/>
    <w:sectPr w:rsidR="004971BD" w:rsidSect="004971BD">
      <w:footerReference w:type="even" r:id="rId10"/>
      <w:footerReference w:type="defaul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044B" w14:textId="77777777" w:rsidR="00DC16C4" w:rsidRDefault="00DC16C4" w:rsidP="004971BD">
      <w:pPr>
        <w:spacing w:after="0" w:line="240" w:lineRule="auto"/>
      </w:pPr>
      <w:r>
        <w:separator/>
      </w:r>
    </w:p>
  </w:endnote>
  <w:endnote w:type="continuationSeparator" w:id="0">
    <w:p w14:paraId="0707BAAC" w14:textId="77777777" w:rsidR="00DC16C4" w:rsidRDefault="00DC16C4" w:rsidP="0049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EFCB" w14:textId="0669E5E8" w:rsidR="004971BD" w:rsidRDefault="004971BD">
    <w:pPr>
      <w:pStyle w:val="Footer"/>
    </w:pPr>
    <w:r>
      <w:rPr>
        <w:noProof/>
      </w:rPr>
      <mc:AlternateContent>
        <mc:Choice Requires="wps">
          <w:drawing>
            <wp:anchor distT="0" distB="0" distL="0" distR="0" simplePos="0" relativeHeight="251659264" behindDoc="0" locked="0" layoutInCell="1" allowOverlap="1" wp14:anchorId="27A5A8C2" wp14:editId="3FF5A868">
              <wp:simplePos x="635" y="635"/>
              <wp:positionH relativeFrom="page">
                <wp:align>center</wp:align>
              </wp:positionH>
              <wp:positionV relativeFrom="page">
                <wp:align>bottom</wp:align>
              </wp:positionV>
              <wp:extent cx="459740" cy="357505"/>
              <wp:effectExtent l="0" t="0" r="16510" b="0"/>
              <wp:wrapNone/>
              <wp:docPr id="15526224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8271764" w14:textId="4EB92314" w:rsidR="004971BD" w:rsidRPr="004971BD" w:rsidRDefault="004971BD" w:rsidP="004971BD">
                          <w:pPr>
                            <w:spacing w:after="0"/>
                            <w:rPr>
                              <w:rFonts w:ascii="Calibri" w:eastAsia="Calibri" w:hAnsi="Calibri" w:cs="Calibri"/>
                              <w:noProof/>
                              <w:color w:val="000000"/>
                              <w:sz w:val="20"/>
                              <w:szCs w:val="20"/>
                            </w:rPr>
                          </w:pPr>
                          <w:r w:rsidRPr="004971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A5A8C2"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38271764" w14:textId="4EB92314" w:rsidR="004971BD" w:rsidRPr="004971BD" w:rsidRDefault="004971BD" w:rsidP="004971BD">
                    <w:pPr>
                      <w:spacing w:after="0"/>
                      <w:rPr>
                        <w:rFonts w:ascii="Calibri" w:eastAsia="Calibri" w:hAnsi="Calibri" w:cs="Calibri"/>
                        <w:noProof/>
                        <w:color w:val="000000"/>
                        <w:sz w:val="20"/>
                        <w:szCs w:val="20"/>
                      </w:rPr>
                    </w:pPr>
                    <w:r w:rsidRPr="004971B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5D5D" w14:textId="1AB9367A" w:rsidR="004971BD" w:rsidRDefault="004971BD">
    <w:pPr>
      <w:pStyle w:val="Footer"/>
    </w:pPr>
    <w:r>
      <w:rPr>
        <w:noProof/>
      </w:rPr>
      <mc:AlternateContent>
        <mc:Choice Requires="wps">
          <w:drawing>
            <wp:anchor distT="0" distB="0" distL="0" distR="0" simplePos="0" relativeHeight="251660288" behindDoc="0" locked="0" layoutInCell="1" allowOverlap="1" wp14:anchorId="4E6BB54B" wp14:editId="124B2294">
              <wp:simplePos x="914400" y="10071100"/>
              <wp:positionH relativeFrom="page">
                <wp:align>center</wp:align>
              </wp:positionH>
              <wp:positionV relativeFrom="page">
                <wp:align>bottom</wp:align>
              </wp:positionV>
              <wp:extent cx="459740" cy="357505"/>
              <wp:effectExtent l="0" t="0" r="16510" b="0"/>
              <wp:wrapNone/>
              <wp:docPr id="83485544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BF996FF" w14:textId="3122B2AB" w:rsidR="004971BD" w:rsidRPr="004971BD" w:rsidRDefault="004971BD" w:rsidP="004971BD">
                          <w:pPr>
                            <w:spacing w:after="0"/>
                            <w:rPr>
                              <w:rFonts w:ascii="Calibri" w:eastAsia="Calibri" w:hAnsi="Calibri" w:cs="Calibri"/>
                              <w:noProof/>
                              <w:color w:val="000000"/>
                              <w:sz w:val="20"/>
                              <w:szCs w:val="20"/>
                            </w:rPr>
                          </w:pPr>
                          <w:r w:rsidRPr="004971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BB54B"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7BF996FF" w14:textId="3122B2AB" w:rsidR="004971BD" w:rsidRPr="004971BD" w:rsidRDefault="004971BD" w:rsidP="004971BD">
                    <w:pPr>
                      <w:spacing w:after="0"/>
                      <w:rPr>
                        <w:rFonts w:ascii="Calibri" w:eastAsia="Calibri" w:hAnsi="Calibri" w:cs="Calibri"/>
                        <w:noProof/>
                        <w:color w:val="000000"/>
                        <w:sz w:val="20"/>
                        <w:szCs w:val="20"/>
                      </w:rPr>
                    </w:pPr>
                    <w:r w:rsidRPr="004971B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D239" w14:textId="29F0FDBB" w:rsidR="004971BD" w:rsidRDefault="004971BD">
    <w:pPr>
      <w:pStyle w:val="Footer"/>
    </w:pPr>
    <w:r>
      <w:rPr>
        <w:noProof/>
      </w:rPr>
      <mc:AlternateContent>
        <mc:Choice Requires="wps">
          <w:drawing>
            <wp:anchor distT="0" distB="0" distL="0" distR="0" simplePos="0" relativeHeight="251658240" behindDoc="0" locked="0" layoutInCell="1" allowOverlap="1" wp14:anchorId="1D42B1B2" wp14:editId="64A62EE5">
              <wp:simplePos x="635" y="635"/>
              <wp:positionH relativeFrom="page">
                <wp:align>center</wp:align>
              </wp:positionH>
              <wp:positionV relativeFrom="page">
                <wp:align>bottom</wp:align>
              </wp:positionV>
              <wp:extent cx="459740" cy="357505"/>
              <wp:effectExtent l="0" t="0" r="16510" b="0"/>
              <wp:wrapNone/>
              <wp:docPr id="97123103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0B75903" w14:textId="74DEC4B1" w:rsidR="004971BD" w:rsidRPr="004971BD" w:rsidRDefault="004971BD" w:rsidP="004971BD">
                          <w:pPr>
                            <w:spacing w:after="0"/>
                            <w:rPr>
                              <w:rFonts w:ascii="Calibri" w:eastAsia="Calibri" w:hAnsi="Calibri" w:cs="Calibri"/>
                              <w:noProof/>
                              <w:color w:val="000000"/>
                              <w:sz w:val="20"/>
                              <w:szCs w:val="20"/>
                            </w:rPr>
                          </w:pPr>
                          <w:r w:rsidRPr="004971B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2B1B2"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60B75903" w14:textId="74DEC4B1" w:rsidR="004971BD" w:rsidRPr="004971BD" w:rsidRDefault="004971BD" w:rsidP="004971BD">
                    <w:pPr>
                      <w:spacing w:after="0"/>
                      <w:rPr>
                        <w:rFonts w:ascii="Calibri" w:eastAsia="Calibri" w:hAnsi="Calibri" w:cs="Calibri"/>
                        <w:noProof/>
                        <w:color w:val="000000"/>
                        <w:sz w:val="20"/>
                        <w:szCs w:val="20"/>
                      </w:rPr>
                    </w:pPr>
                    <w:r w:rsidRPr="004971B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8A7C" w14:textId="77777777" w:rsidR="00DC16C4" w:rsidRDefault="00DC16C4" w:rsidP="004971BD">
      <w:pPr>
        <w:spacing w:after="0" w:line="240" w:lineRule="auto"/>
      </w:pPr>
      <w:r>
        <w:separator/>
      </w:r>
    </w:p>
  </w:footnote>
  <w:footnote w:type="continuationSeparator" w:id="0">
    <w:p w14:paraId="7ACBFB8C" w14:textId="77777777" w:rsidR="00DC16C4" w:rsidRDefault="00DC16C4" w:rsidP="00497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0BB6"/>
    <w:multiLevelType w:val="hybridMultilevel"/>
    <w:tmpl w:val="06CE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008AC"/>
    <w:multiLevelType w:val="hybridMultilevel"/>
    <w:tmpl w:val="9BA2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700C5"/>
    <w:multiLevelType w:val="hybridMultilevel"/>
    <w:tmpl w:val="B3DE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365333">
    <w:abstractNumId w:val="1"/>
  </w:num>
  <w:num w:numId="2" w16cid:durableId="185289539">
    <w:abstractNumId w:val="0"/>
  </w:num>
  <w:num w:numId="3" w16cid:durableId="54449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BD"/>
    <w:rsid w:val="000365A8"/>
    <w:rsid w:val="002D4330"/>
    <w:rsid w:val="004278B1"/>
    <w:rsid w:val="004971BD"/>
    <w:rsid w:val="00DC16C4"/>
    <w:rsid w:val="00E54BE7"/>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D351"/>
  <w15:chartTrackingRefBased/>
  <w15:docId w15:val="{689CEBEE-C33B-4052-B196-28111ED5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BD"/>
    <w:pPr>
      <w:spacing w:line="259" w:lineRule="auto"/>
    </w:pPr>
    <w:rPr>
      <w:sz w:val="22"/>
      <w:szCs w:val="22"/>
    </w:rPr>
  </w:style>
  <w:style w:type="paragraph" w:styleId="Heading1">
    <w:name w:val="heading 1"/>
    <w:basedOn w:val="Normal"/>
    <w:next w:val="Normal"/>
    <w:link w:val="Heading1Char"/>
    <w:uiPriority w:val="9"/>
    <w:qFormat/>
    <w:rsid w:val="00497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1BD"/>
    <w:rPr>
      <w:rFonts w:eastAsiaTheme="majorEastAsia" w:cstheme="majorBidi"/>
      <w:color w:val="272727" w:themeColor="text1" w:themeTint="D8"/>
    </w:rPr>
  </w:style>
  <w:style w:type="paragraph" w:styleId="Title">
    <w:name w:val="Title"/>
    <w:basedOn w:val="Normal"/>
    <w:next w:val="Normal"/>
    <w:link w:val="TitleChar"/>
    <w:uiPriority w:val="10"/>
    <w:qFormat/>
    <w:rsid w:val="00497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1BD"/>
    <w:pPr>
      <w:spacing w:before="160"/>
      <w:jc w:val="center"/>
    </w:pPr>
    <w:rPr>
      <w:i/>
      <w:iCs/>
      <w:color w:val="404040" w:themeColor="text1" w:themeTint="BF"/>
    </w:rPr>
  </w:style>
  <w:style w:type="character" w:customStyle="1" w:styleId="QuoteChar">
    <w:name w:val="Quote Char"/>
    <w:basedOn w:val="DefaultParagraphFont"/>
    <w:link w:val="Quote"/>
    <w:uiPriority w:val="29"/>
    <w:rsid w:val="004971BD"/>
    <w:rPr>
      <w:i/>
      <w:iCs/>
      <w:color w:val="404040" w:themeColor="text1" w:themeTint="BF"/>
    </w:rPr>
  </w:style>
  <w:style w:type="paragraph" w:styleId="ListParagraph">
    <w:name w:val="List Paragraph"/>
    <w:basedOn w:val="Normal"/>
    <w:uiPriority w:val="34"/>
    <w:qFormat/>
    <w:rsid w:val="004971BD"/>
    <w:pPr>
      <w:ind w:left="720"/>
      <w:contextualSpacing/>
    </w:pPr>
  </w:style>
  <w:style w:type="character" w:styleId="IntenseEmphasis">
    <w:name w:val="Intense Emphasis"/>
    <w:basedOn w:val="DefaultParagraphFont"/>
    <w:uiPriority w:val="21"/>
    <w:qFormat/>
    <w:rsid w:val="004971BD"/>
    <w:rPr>
      <w:i/>
      <w:iCs/>
      <w:color w:val="0F4761" w:themeColor="accent1" w:themeShade="BF"/>
    </w:rPr>
  </w:style>
  <w:style w:type="paragraph" w:styleId="IntenseQuote">
    <w:name w:val="Intense Quote"/>
    <w:basedOn w:val="Normal"/>
    <w:next w:val="Normal"/>
    <w:link w:val="IntenseQuoteChar"/>
    <w:uiPriority w:val="30"/>
    <w:qFormat/>
    <w:rsid w:val="00497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1BD"/>
    <w:rPr>
      <w:i/>
      <w:iCs/>
      <w:color w:val="0F4761" w:themeColor="accent1" w:themeShade="BF"/>
    </w:rPr>
  </w:style>
  <w:style w:type="character" w:styleId="IntenseReference">
    <w:name w:val="Intense Reference"/>
    <w:basedOn w:val="DefaultParagraphFont"/>
    <w:uiPriority w:val="32"/>
    <w:qFormat/>
    <w:rsid w:val="004971BD"/>
    <w:rPr>
      <w:b/>
      <w:bCs/>
      <w:smallCaps/>
      <w:color w:val="0F4761" w:themeColor="accent1" w:themeShade="BF"/>
      <w:spacing w:val="5"/>
    </w:rPr>
  </w:style>
  <w:style w:type="table" w:styleId="TableGrid">
    <w:name w:val="Table Grid"/>
    <w:basedOn w:val="TableNormal"/>
    <w:uiPriority w:val="39"/>
    <w:rsid w:val="004971B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7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1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fb9cd0-9a67-466a-80b4-0a02ac1b736a">
      <Terms xmlns="http://schemas.microsoft.com/office/infopath/2007/PartnerControls"/>
    </lcf76f155ced4ddcb4097134ff3c332f>
    <TaxCatchAll xmlns="b5310ec2-39a6-43f7-aa10-6e67189019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DAFEC90788A47A3F1964604A77DCB" ma:contentTypeVersion="11" ma:contentTypeDescription="Create a new document." ma:contentTypeScope="" ma:versionID="a76a22b9fe13099e67d9de44f3730ab7">
  <xsd:schema xmlns:xsd="http://www.w3.org/2001/XMLSchema" xmlns:xs="http://www.w3.org/2001/XMLSchema" xmlns:p="http://schemas.microsoft.com/office/2006/metadata/properties" xmlns:ns2="bbfb9cd0-9a67-466a-80b4-0a02ac1b736a" xmlns:ns3="b5310ec2-39a6-43f7-aa10-6e67189019ef" targetNamespace="http://schemas.microsoft.com/office/2006/metadata/properties" ma:root="true" ma:fieldsID="4dee7e04a54811e603fe9014dba51834" ns2:_="" ns3:_="">
    <xsd:import namespace="bbfb9cd0-9a67-466a-80b4-0a02ac1b736a"/>
    <xsd:import namespace="b5310ec2-39a6-43f7-aa10-6e6718901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9cd0-9a67-466a-80b4-0a02ac1b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0ec2-39a6-43f7-aa10-6e67189019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e8649-f115-42fd-bc0b-f30bac37ddf9}" ma:internalName="TaxCatchAll" ma:showField="CatchAllData" ma:web="b5310ec2-39a6-43f7-aa10-6e6718901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490FB-5CBD-4025-ABD5-393DFF2590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5310ec2-39a6-43f7-aa10-6e67189019ef"/>
    <ds:schemaRef ds:uri="http://www.w3.org/XML/1998/namespace"/>
    <ds:schemaRef ds:uri="http://purl.org/dc/terms/"/>
    <ds:schemaRef ds:uri="http://schemas.openxmlformats.org/package/2006/metadata/core-properties"/>
    <ds:schemaRef ds:uri="bbfb9cd0-9a67-466a-80b4-0a02ac1b736a"/>
    <ds:schemaRef ds:uri="http://purl.org/dc/dcmitype/"/>
  </ds:schemaRefs>
</ds:datastoreItem>
</file>

<file path=customXml/itemProps2.xml><?xml version="1.0" encoding="utf-8"?>
<ds:datastoreItem xmlns:ds="http://schemas.openxmlformats.org/officeDocument/2006/customXml" ds:itemID="{A5F1ECE4-3AC4-47E7-BBC2-FC39EFDC2E32}">
  <ds:schemaRefs>
    <ds:schemaRef ds:uri="http://schemas.microsoft.com/sharepoint/v3/contenttype/forms"/>
  </ds:schemaRefs>
</ds:datastoreItem>
</file>

<file path=customXml/itemProps3.xml><?xml version="1.0" encoding="utf-8"?>
<ds:datastoreItem xmlns:ds="http://schemas.openxmlformats.org/officeDocument/2006/customXml" ds:itemID="{1318A7A6-3657-447C-94CB-89E6E2506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b9cd0-9a67-466a-80b4-0a02ac1b736a"/>
    <ds:schemaRef ds:uri="b5310ec2-39a6-43f7-aa10-6e671890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1291</Characters>
  <Application>Microsoft Office Word</Application>
  <DocSecurity>0</DocSecurity>
  <Lines>10</Lines>
  <Paragraphs>3</Paragraphs>
  <ScaleCrop>false</ScaleCrop>
  <Company>Birmingham City Council</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Achla Kaura</dc:creator>
  <cp:keywords/>
  <dc:description/>
  <cp:lastModifiedBy>Heather Wood</cp:lastModifiedBy>
  <cp:revision>4</cp:revision>
  <dcterms:created xsi:type="dcterms:W3CDTF">2024-10-11T09:55:00Z</dcterms:created>
  <dcterms:modified xsi:type="dcterms:W3CDTF">2024-10-15T15:45:00Z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39e3cf3c,5c8b2393,31c2e217</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2024-10-11T09:59:30Z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717f94d3-4838-402e-acca-6f169ea4795f</vt:lpwstr>
  </property>
  <property fmtid="{D5CDD505-2E9C-101B-9397-08002B2CF9AE}" pid="11" name="MSIP_Label_a17471b1-27ab-4640-9264-e69a67407ca3_ContentBits">
    <vt:lpwstr>2</vt:lpwstr>
  </property>
  <property fmtid="{D5CDD505-2E9C-101B-9397-08002B2CF9AE}" pid="12" name="ContentTypeId">
    <vt:lpwstr>0x010100F73DAFEC90788A47A3F1964604A77DCB</vt:lpwstr>
  </property>
  <property fmtid="{D5CDD505-2E9C-101B-9397-08002B2CF9AE}" pid="13" name="MediaServiceImageTags">
    <vt:lpwstr/>
  </property>
</Properties>
</file>